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8F" w:rsidRPr="008F73F5" w:rsidRDefault="000B328F" w:rsidP="00985D87">
      <w:pPr>
        <w:shd w:val="clear" w:color="auto" w:fill="FFFFFF"/>
        <w:autoSpaceDE w:val="0"/>
        <w:autoSpaceDN w:val="0"/>
        <w:adjustRightInd w:val="0"/>
        <w:jc w:val="center"/>
        <w:rPr>
          <w:rFonts w:ascii="Arial" w:hAnsi="Arial" w:cs="Arial"/>
          <w:b/>
          <w:bCs/>
          <w:sz w:val="22"/>
          <w:szCs w:val="22"/>
          <w:lang w:val="en-US"/>
        </w:rPr>
      </w:pPr>
      <w:r w:rsidRPr="008F73F5">
        <w:rPr>
          <w:rFonts w:ascii="Arial" w:hAnsi="Arial" w:cs="Arial"/>
          <w:b/>
          <w:bCs/>
          <w:sz w:val="22"/>
          <w:szCs w:val="22"/>
          <w:lang w:val="en-US"/>
        </w:rPr>
        <w:t>"Matematik bozor" o’yini</w:t>
      </w:r>
    </w:p>
    <w:p w:rsidR="000B328F" w:rsidRPr="008F73F5" w:rsidRDefault="000B328F" w:rsidP="00985D87">
      <w:pPr>
        <w:shd w:val="clear" w:color="auto" w:fill="FFFFFF"/>
        <w:autoSpaceDE w:val="0"/>
        <w:autoSpaceDN w:val="0"/>
        <w:adjustRightInd w:val="0"/>
        <w:jc w:val="center"/>
        <w:rPr>
          <w:rFonts w:ascii="Arial" w:hAnsi="Arial" w:cs="Arial"/>
          <w:sz w:val="20"/>
          <w:szCs w:val="20"/>
          <w:lang w:val="en-US"/>
        </w:rPr>
      </w:pPr>
    </w:p>
    <w:p w:rsidR="000B328F" w:rsidRPr="008F73F5" w:rsidRDefault="000B328F" w:rsidP="00985D87">
      <w:pPr>
        <w:shd w:val="clear" w:color="auto" w:fill="FFFFFF"/>
        <w:autoSpaceDE w:val="0"/>
        <w:autoSpaceDN w:val="0"/>
        <w:adjustRightInd w:val="0"/>
        <w:ind w:firstLine="708"/>
        <w:jc w:val="both"/>
        <w:rPr>
          <w:rFonts w:ascii="Arial" w:hAnsi="Arial" w:cs="Arial"/>
          <w:sz w:val="20"/>
          <w:szCs w:val="20"/>
          <w:lang w:val="en-US"/>
        </w:rPr>
      </w:pPr>
      <w:r w:rsidRPr="008F73F5">
        <w:rPr>
          <w:rFonts w:ascii="Arial" w:hAnsi="Arial" w:cs="Arial"/>
          <w:sz w:val="20"/>
          <w:szCs w:val="20"/>
          <w:lang w:val="en-US"/>
        </w:rPr>
        <w:t>Bu mashg'ulotni odatda biror katta bo'lim yoki bobning oxiridagi takrorlash darslarida o'tkazish mumkin. Biror bob yakunlangandan keyin o'qituvchi shu bobda o'rganilgan materiallarga taalluqli misollarni kartochkalarga yozib tayyorlaydi. Har bir kartochkada 2-3tadan turli qiyinlikdagi misollar yoziladi va har bir misolga qiyinlik darajasiga qarab "narx" belgilanadi (masalan. 50so'm, 100so'm, 200so'm,...). Kartochkalar soni sinfdagi o'quvchilar soniga qarab tuziladi. O'quvchilar 4tadan qilib guruhlarga bo'linadi, bunda sinfda o'rtacha 8-lOta guruh tashkil qilish mumkin. Demak, har bir kartochkadan guruhlar soniga mos ravishda 8-10tadan tayyorlash kerak bo'ladi. Kartochkalarning turi esa 4-5 xil bo'lsa yetarli bo'ladi</w:t>
      </w:r>
      <w:r>
        <w:rPr>
          <w:noProof/>
        </w:rPr>
        <w:pict>
          <v:rect id="Прямоугольник 15" o:spid="_x0000_s1026" style="position:absolute;left:0;text-align:left;margin-left:17.95pt;margin-top:174.6pt;width:11.8pt;height:1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" filled="f" stroked="f"/>
        </w:pict>
      </w:r>
      <w:r w:rsidRPr="008F73F5">
        <w:rPr>
          <w:rFonts w:ascii="Arial" w:hAnsi="Arial" w:cs="Arial"/>
          <w:sz w:val="20"/>
          <w:szCs w:val="20"/>
          <w:lang w:val="en-US"/>
        </w:rPr>
        <w:t xml:space="preserve"> (jam! 32-40ta kartochka). Har bir guruh kartochkalardan bittadan oladi, ya'ni har bir guruhda 4 yoki 5 xil kartochka bo'ladi, "narxlar" kartochkalarda har bir misol (savol) to'g'risida ko'rsatilgan bo'lishi kerak.</w:t>
      </w:r>
    </w:p>
    <w:p w:rsidR="000B328F" w:rsidRPr="008F73F5" w:rsidRDefault="000B328F" w:rsidP="00985D87">
      <w:pPr>
        <w:shd w:val="clear" w:color="auto" w:fill="FFFFFF"/>
        <w:autoSpaceDE w:val="0"/>
        <w:autoSpaceDN w:val="0"/>
        <w:adjustRightInd w:val="0"/>
        <w:jc w:val="both"/>
        <w:rPr>
          <w:rFonts w:ascii="Arial" w:hAnsi="Arial" w:cs="Arial"/>
          <w:sz w:val="20"/>
          <w:szCs w:val="20"/>
          <w:lang w:val="en-US"/>
        </w:rPr>
      </w:pPr>
    </w:p>
    <w:tbl>
      <w:tblPr>
        <w:tblW w:w="0" w:type="auto"/>
        <w:tblInd w:w="1980" w:type="dxa"/>
        <w:tblLayout w:type="fixed"/>
        <w:tblCellMar>
          <w:left w:w="40" w:type="dxa"/>
          <w:right w:w="40" w:type="dxa"/>
        </w:tblCellMar>
        <w:tblLook w:val="0000"/>
      </w:tblPr>
      <w:tblGrid>
        <w:gridCol w:w="1738"/>
        <w:gridCol w:w="1104"/>
      </w:tblGrid>
      <w:tr w:rsidR="000B328F" w:rsidRPr="008F73F5" w:rsidTr="00985D87">
        <w:trPr>
          <w:trHeight w:val="113"/>
        </w:trPr>
        <w:tc>
          <w:tcPr>
            <w:tcW w:w="2842" w:type="dxa"/>
            <w:gridSpan w:val="2"/>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jc w:val="center"/>
              <w:rPr>
                <w:rFonts w:ascii="Arial" w:hAnsi="Arial" w:cs="Arial"/>
                <w:b/>
                <w:bCs/>
                <w:sz w:val="20"/>
                <w:szCs w:val="20"/>
                <w:lang w:val="en-US"/>
              </w:rPr>
            </w:pPr>
            <w:r w:rsidRPr="008F73F5">
              <w:rPr>
                <w:rFonts w:ascii="Arial" w:hAnsi="Arial" w:cs="Arial"/>
                <w:b/>
                <w:bCs/>
                <w:sz w:val="20"/>
                <w:szCs w:val="20"/>
                <w:lang w:val="en-US"/>
              </w:rPr>
              <w:t>1-variant</w:t>
            </w:r>
          </w:p>
        </w:tc>
      </w:tr>
      <w:tr w:rsidR="000B328F" w:rsidRPr="008F73F5" w:rsidTr="00985D87">
        <w:trPr>
          <w:trHeight w:val="245"/>
        </w:trPr>
        <w:tc>
          <w:tcPr>
            <w:tcW w:w="1738"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1. Topshiriq</w:t>
            </w:r>
          </w:p>
        </w:tc>
        <w:tc>
          <w:tcPr>
            <w:tcW w:w="1104"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100s.</w:t>
            </w:r>
          </w:p>
        </w:tc>
      </w:tr>
      <w:tr w:rsidR="000B328F" w:rsidRPr="008F73F5" w:rsidTr="00985D87">
        <w:trPr>
          <w:trHeight w:val="57"/>
        </w:trPr>
        <w:tc>
          <w:tcPr>
            <w:tcW w:w="1738"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2. Topshiriq</w:t>
            </w:r>
          </w:p>
        </w:tc>
        <w:tc>
          <w:tcPr>
            <w:tcW w:w="1104"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150s.</w:t>
            </w:r>
          </w:p>
        </w:tc>
      </w:tr>
      <w:tr w:rsidR="000B328F" w:rsidRPr="008F73F5" w:rsidTr="00985D87">
        <w:trPr>
          <w:trHeight w:val="57"/>
        </w:trPr>
        <w:tc>
          <w:tcPr>
            <w:tcW w:w="1738"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3. Topshiriq</w:t>
            </w:r>
          </w:p>
        </w:tc>
        <w:tc>
          <w:tcPr>
            <w:tcW w:w="1104"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200s.</w:t>
            </w:r>
          </w:p>
        </w:tc>
      </w:tr>
    </w:tbl>
    <w:p w:rsidR="000B328F" w:rsidRPr="008F73F5" w:rsidRDefault="000B328F" w:rsidP="00985D87">
      <w:pPr>
        <w:shd w:val="clear" w:color="auto" w:fill="FFFFFF"/>
        <w:autoSpaceDE w:val="0"/>
        <w:autoSpaceDN w:val="0"/>
        <w:adjustRightInd w:val="0"/>
        <w:jc w:val="both"/>
        <w:rPr>
          <w:rFonts w:ascii="Arial" w:hAnsi="Arial" w:cs="Arial"/>
          <w:sz w:val="20"/>
          <w:szCs w:val="20"/>
          <w:lang w:val="en-US"/>
        </w:rPr>
      </w:pPr>
    </w:p>
    <w:p w:rsidR="000B328F" w:rsidRPr="008F73F5" w:rsidRDefault="000B328F" w:rsidP="00985D87">
      <w:pPr>
        <w:shd w:val="clear" w:color="auto" w:fill="FFFFFF"/>
        <w:autoSpaceDE w:val="0"/>
        <w:autoSpaceDN w:val="0"/>
        <w:adjustRightInd w:val="0"/>
        <w:ind w:firstLine="708"/>
        <w:jc w:val="both"/>
        <w:rPr>
          <w:rFonts w:ascii="Arial" w:hAnsi="Arial" w:cs="Arial"/>
          <w:sz w:val="20"/>
          <w:szCs w:val="20"/>
          <w:lang w:val="en-US"/>
        </w:rPr>
      </w:pPr>
      <w:r w:rsidRPr="008F73F5">
        <w:rPr>
          <w:rFonts w:ascii="Arial" w:hAnsi="Arial" w:cs="Arial"/>
          <w:sz w:val="20"/>
          <w:szCs w:val="20"/>
          <w:lang w:val="en-US"/>
        </w:rPr>
        <w:t>Biror guruh 1-variantdagi topshiriqlarni birichi bo'lib bajarsa, o'qituvchiga ko'rsatadi va o'qituvchi yechimni tekshirib shu guruh ishlagan pulni doskada tayyorlab qo'yilgan jadvalga yozib qo'yadi. Shu 1-variantni keyingi bo'lib ishlagan guruhga har bir topshiriqdan 25so'mdan chiqarib tashlanadi. Shu tariqa guruhlar har bir variantdagi topshiriqlardan iloji boricha ko'proq va tezroq yechishga va ko'proq pul to'plashga harakat qiladilar. Variantlardagi topshiriqlar xilma-xil va har xil narxli bo'lishi mashg'ulotlarni qiziqarli bo'lishiga yordam beradi.</w:t>
      </w:r>
    </w:p>
    <w:p w:rsidR="000B328F" w:rsidRPr="008F73F5" w:rsidRDefault="000B328F" w:rsidP="00985D87">
      <w:pPr>
        <w:shd w:val="clear" w:color="auto" w:fill="FFFFFF"/>
        <w:autoSpaceDE w:val="0"/>
        <w:autoSpaceDN w:val="0"/>
        <w:adjustRightInd w:val="0"/>
        <w:ind w:firstLine="708"/>
        <w:jc w:val="both"/>
        <w:rPr>
          <w:rFonts w:ascii="Arial" w:hAnsi="Arial" w:cs="Arial"/>
          <w:sz w:val="20"/>
          <w:szCs w:val="20"/>
          <w:lang w:val="en-US"/>
        </w:rPr>
      </w:pPr>
      <w:r w:rsidRPr="008F73F5">
        <w:rPr>
          <w:rFonts w:ascii="Arial" w:hAnsi="Arial" w:cs="Arial"/>
          <w:sz w:val="20"/>
          <w:szCs w:val="20"/>
          <w:lang w:val="en-US"/>
        </w:rPr>
        <w:t>Ma'lum vaqtdan so'ng (masalan 30 minutdan keyin) "bozor" to'xtatiladi va o'qituvchi guruhlar to'plagan pullarni jadval yordamida hisoblaydi. Guruhlarni nomerlash yoki ularning o'zlari guruhga nom tanlashlari mumkin. Qaysi guruh ko'proq pul to'plagan bo'lsa, shu guruh g'olib topiladi, qolgan guruhlarga ham o'rinlar beriladi. O'qituvchi guruhlarning bajargan ishlarini kuzatib, qaysi guruh biror topshiriqni bajarishga qiynalgan yoki bajara olmagan bo'lsa, shu topshiriqni bajargan guruhlar yechimini doskada namoyish qilib berishlari mumkin. Biror topshiriqni har bir guruh bajara olmagan bo'lsa, o'qituvchining o'zi shu topshiriqni yechish yo'llarini ko'rsatib berishi mumkin va shu kabi misollar ustida ishlash zarurligini bilib olishi mumkin.</w:t>
      </w:r>
    </w:p>
    <w:p w:rsidR="000B328F" w:rsidRPr="008F73F5" w:rsidRDefault="000B328F" w:rsidP="00985D87">
      <w:pPr>
        <w:shd w:val="clear" w:color="auto" w:fill="FFFFFF"/>
        <w:autoSpaceDE w:val="0"/>
        <w:autoSpaceDN w:val="0"/>
        <w:adjustRightInd w:val="0"/>
        <w:jc w:val="both"/>
        <w:rPr>
          <w:rFonts w:ascii="Arial" w:hAnsi="Arial" w:cs="Arial"/>
          <w:sz w:val="20"/>
          <w:szCs w:val="20"/>
          <w:lang w:val="en-US"/>
        </w:rPr>
      </w:pPr>
      <w:r w:rsidRPr="008F73F5">
        <w:rPr>
          <w:rFonts w:ascii="Arial" w:hAnsi="Arial" w:cs="Arial"/>
          <w:sz w:val="20"/>
          <w:szCs w:val="20"/>
          <w:lang w:val="en-US"/>
        </w:rPr>
        <w:t>So'ngra o'qituvchi guruhlarning to'plagan pullariga qarab o'quvchilarni baholaydi. Besh balli tizimda eng ko'p pul to'plagan guruh o'quvchilariga 5 ball, keyingi 2ta guruhga 4 balldan, keyingi 3ta guruhga 3 balldan va hokazo, qo'yish mumkin.</w:t>
      </w:r>
    </w:p>
    <w:p w:rsidR="000B328F" w:rsidRPr="008F73F5" w:rsidRDefault="000B328F" w:rsidP="00985D87">
      <w:pPr>
        <w:pStyle w:val="Heading6"/>
        <w:jc w:val="center"/>
        <w:rPr>
          <w:rFonts w:ascii="Arial" w:hAnsi="Arial" w:cs="Arial"/>
          <w:sz w:val="20"/>
          <w:szCs w:val="20"/>
        </w:rPr>
      </w:pPr>
      <w:r w:rsidRPr="008F73F5">
        <w:rPr>
          <w:rFonts w:ascii="Arial" w:hAnsi="Arial" w:cs="Arial"/>
          <w:sz w:val="20"/>
          <w:szCs w:val="20"/>
        </w:rPr>
        <w:t>Yakuniy ja</w:t>
      </w:r>
      <w:bookmarkStart w:id="0" w:name="_GoBack"/>
      <w:bookmarkEnd w:id="0"/>
      <w:r w:rsidRPr="008F73F5">
        <w:rPr>
          <w:rFonts w:ascii="Arial" w:hAnsi="Arial" w:cs="Arial"/>
          <w:sz w:val="20"/>
          <w:szCs w:val="20"/>
        </w:rPr>
        <w:t>dval</w:t>
      </w:r>
    </w:p>
    <w:tbl>
      <w:tblPr>
        <w:tblW w:w="9407" w:type="dxa"/>
        <w:tblInd w:w="40" w:type="dxa"/>
        <w:tblLayout w:type="fixed"/>
        <w:tblCellMar>
          <w:left w:w="40" w:type="dxa"/>
          <w:right w:w="40" w:type="dxa"/>
        </w:tblCellMar>
        <w:tblLook w:val="0000"/>
      </w:tblPr>
      <w:tblGrid>
        <w:gridCol w:w="1046"/>
        <w:gridCol w:w="1056"/>
        <w:gridCol w:w="1046"/>
        <w:gridCol w:w="1037"/>
        <w:gridCol w:w="1027"/>
        <w:gridCol w:w="1037"/>
        <w:gridCol w:w="951"/>
        <w:gridCol w:w="1151"/>
        <w:gridCol w:w="1056"/>
      </w:tblGrid>
      <w:tr w:rsidR="000B328F" w:rsidRPr="008F73F5" w:rsidTr="00985D87">
        <w:trPr>
          <w:trHeight w:val="437"/>
        </w:trPr>
        <w:tc>
          <w:tcPr>
            <w:tcW w:w="1046"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c>
          <w:tcPr>
            <w:tcW w:w="1056"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1-V</w:t>
            </w:r>
          </w:p>
        </w:tc>
        <w:tc>
          <w:tcPr>
            <w:tcW w:w="1046"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2-V</w:t>
            </w:r>
          </w:p>
        </w:tc>
        <w:tc>
          <w:tcPr>
            <w:tcW w:w="1037"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3-V</w:t>
            </w:r>
          </w:p>
        </w:tc>
        <w:tc>
          <w:tcPr>
            <w:tcW w:w="1027"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4-V</w:t>
            </w:r>
          </w:p>
        </w:tc>
        <w:tc>
          <w:tcPr>
            <w:tcW w:w="1037"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5-V</w:t>
            </w:r>
          </w:p>
        </w:tc>
        <w:tc>
          <w:tcPr>
            <w:tcW w:w="951"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Jami</w:t>
            </w:r>
          </w:p>
        </w:tc>
        <w:tc>
          <w:tcPr>
            <w:tcW w:w="1151"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O'rin</w:t>
            </w:r>
          </w:p>
        </w:tc>
        <w:tc>
          <w:tcPr>
            <w:tcW w:w="1056"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Ball</w:t>
            </w:r>
          </w:p>
        </w:tc>
      </w:tr>
      <w:tr w:rsidR="000B328F" w:rsidRPr="008F73F5" w:rsidTr="00985D87">
        <w:trPr>
          <w:trHeight w:val="57"/>
        </w:trPr>
        <w:tc>
          <w:tcPr>
            <w:tcW w:w="1046"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1-G</w:t>
            </w:r>
          </w:p>
        </w:tc>
        <w:tc>
          <w:tcPr>
            <w:tcW w:w="1056"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500</w:t>
            </w:r>
          </w:p>
        </w:tc>
        <w:tc>
          <w:tcPr>
            <w:tcW w:w="1046"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425</w:t>
            </w:r>
          </w:p>
        </w:tc>
        <w:tc>
          <w:tcPr>
            <w:tcW w:w="1037"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c>
          <w:tcPr>
            <w:tcW w:w="1027"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c>
          <w:tcPr>
            <w:tcW w:w="1037"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c>
          <w:tcPr>
            <w:tcW w:w="951"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c>
          <w:tcPr>
            <w:tcW w:w="1151"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c>
          <w:tcPr>
            <w:tcW w:w="1056"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r>
      <w:tr w:rsidR="000B328F" w:rsidRPr="008F73F5" w:rsidTr="00985D87">
        <w:trPr>
          <w:trHeight w:val="57"/>
        </w:trPr>
        <w:tc>
          <w:tcPr>
            <w:tcW w:w="1046"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2-G</w:t>
            </w:r>
          </w:p>
        </w:tc>
        <w:tc>
          <w:tcPr>
            <w:tcW w:w="1056"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425</w:t>
            </w:r>
          </w:p>
        </w:tc>
        <w:tc>
          <w:tcPr>
            <w:tcW w:w="1046"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350</w:t>
            </w:r>
          </w:p>
        </w:tc>
        <w:tc>
          <w:tcPr>
            <w:tcW w:w="1037"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c>
          <w:tcPr>
            <w:tcW w:w="1027"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c>
          <w:tcPr>
            <w:tcW w:w="1037"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c>
          <w:tcPr>
            <w:tcW w:w="951" w:type="dxa"/>
            <w:tcBorders>
              <w:top w:val="single" w:sz="6" w:space="0" w:color="auto"/>
              <w:left w:val="single" w:sz="6" w:space="0" w:color="auto"/>
              <w:bottom w:val="single" w:sz="6" w:space="0" w:color="auto"/>
              <w:right w:val="single" w:sz="4"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c>
          <w:tcPr>
            <w:tcW w:w="1151" w:type="dxa"/>
            <w:tcBorders>
              <w:top w:val="single" w:sz="6" w:space="0" w:color="auto"/>
              <w:left w:val="single" w:sz="4"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c>
          <w:tcPr>
            <w:tcW w:w="1056"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r>
      <w:tr w:rsidR="000B328F" w:rsidRPr="008F73F5" w:rsidTr="00985D87">
        <w:trPr>
          <w:trHeight w:val="282"/>
        </w:trPr>
        <w:tc>
          <w:tcPr>
            <w:tcW w:w="1046"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3-G</w:t>
            </w:r>
          </w:p>
        </w:tc>
        <w:tc>
          <w:tcPr>
            <w:tcW w:w="1056"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350</w:t>
            </w:r>
          </w:p>
        </w:tc>
        <w:tc>
          <w:tcPr>
            <w:tcW w:w="1046"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r w:rsidRPr="008F73F5">
              <w:rPr>
                <w:rFonts w:ascii="Arial" w:hAnsi="Arial" w:cs="Arial"/>
                <w:sz w:val="20"/>
                <w:szCs w:val="20"/>
                <w:lang w:val="en-US"/>
              </w:rPr>
              <w:t xml:space="preserve">   500</w:t>
            </w:r>
          </w:p>
        </w:tc>
        <w:tc>
          <w:tcPr>
            <w:tcW w:w="1037"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c>
          <w:tcPr>
            <w:tcW w:w="1027"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c>
          <w:tcPr>
            <w:tcW w:w="1037"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c>
          <w:tcPr>
            <w:tcW w:w="951"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c>
          <w:tcPr>
            <w:tcW w:w="1151"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c>
          <w:tcPr>
            <w:tcW w:w="1056" w:type="dxa"/>
            <w:tcBorders>
              <w:top w:val="single" w:sz="6" w:space="0" w:color="auto"/>
              <w:left w:val="single" w:sz="6" w:space="0" w:color="auto"/>
              <w:bottom w:val="single" w:sz="6" w:space="0" w:color="auto"/>
              <w:right w:val="single" w:sz="6" w:space="0" w:color="auto"/>
            </w:tcBorders>
          </w:tcPr>
          <w:p w:rsidR="000B328F" w:rsidRPr="008F73F5" w:rsidRDefault="000B328F" w:rsidP="00985D87">
            <w:pPr>
              <w:shd w:val="clear" w:color="auto" w:fill="FFFFFF"/>
              <w:autoSpaceDE w:val="0"/>
              <w:autoSpaceDN w:val="0"/>
              <w:adjustRightInd w:val="0"/>
              <w:rPr>
                <w:rFonts w:ascii="Arial" w:hAnsi="Arial" w:cs="Arial"/>
                <w:sz w:val="20"/>
                <w:szCs w:val="20"/>
                <w:lang w:val="en-US"/>
              </w:rPr>
            </w:pPr>
          </w:p>
          <w:p w:rsidR="000B328F" w:rsidRPr="008F73F5" w:rsidRDefault="000B328F" w:rsidP="00985D87">
            <w:pPr>
              <w:shd w:val="clear" w:color="auto" w:fill="FFFFFF"/>
              <w:autoSpaceDE w:val="0"/>
              <w:autoSpaceDN w:val="0"/>
              <w:adjustRightInd w:val="0"/>
              <w:rPr>
                <w:rFonts w:ascii="Arial" w:hAnsi="Arial" w:cs="Arial"/>
                <w:sz w:val="20"/>
                <w:szCs w:val="20"/>
                <w:lang w:val="en-US"/>
              </w:rPr>
            </w:pPr>
          </w:p>
        </w:tc>
      </w:tr>
    </w:tbl>
    <w:p w:rsidR="000B328F" w:rsidRPr="008F73F5" w:rsidRDefault="000B328F" w:rsidP="00985D87">
      <w:pPr>
        <w:shd w:val="clear" w:color="auto" w:fill="FFFFFF"/>
        <w:autoSpaceDE w:val="0"/>
        <w:autoSpaceDN w:val="0"/>
        <w:adjustRightInd w:val="0"/>
        <w:rPr>
          <w:rFonts w:ascii="Arial" w:hAnsi="Arial" w:cs="Arial"/>
          <w:b/>
          <w:bCs/>
          <w:sz w:val="20"/>
          <w:szCs w:val="20"/>
          <w:lang w:val="en-US"/>
        </w:rPr>
      </w:pPr>
    </w:p>
    <w:p w:rsidR="000B328F" w:rsidRDefault="000B328F" w:rsidP="00985D87">
      <w:pPr>
        <w:rPr>
          <w:rFonts w:ascii="Arial" w:hAnsi="Arial" w:cs="Arial"/>
          <w:sz w:val="20"/>
          <w:szCs w:val="20"/>
          <w:lang w:val="en-US"/>
        </w:rPr>
      </w:pPr>
    </w:p>
    <w:p w:rsidR="000B328F" w:rsidRDefault="000B328F" w:rsidP="00985D87">
      <w:pPr>
        <w:rPr>
          <w:rFonts w:ascii="Arial" w:hAnsi="Arial" w:cs="Arial"/>
          <w:sz w:val="20"/>
          <w:szCs w:val="20"/>
          <w:lang w:val="en-US"/>
        </w:rPr>
      </w:pPr>
    </w:p>
    <w:p w:rsidR="000B328F" w:rsidRPr="008F73F5" w:rsidRDefault="000B328F" w:rsidP="00985D87">
      <w:pPr>
        <w:rPr>
          <w:rFonts w:ascii="Arial" w:hAnsi="Arial" w:cs="Arial"/>
          <w:sz w:val="20"/>
          <w:szCs w:val="20"/>
          <w:lang w:val="en-US"/>
        </w:rPr>
      </w:pPr>
    </w:p>
    <w:p w:rsidR="000B328F" w:rsidRDefault="000B328F" w:rsidP="00985D87"/>
    <w:p w:rsidR="000B328F" w:rsidRDefault="000B328F"/>
    <w:sectPr w:rsidR="000B328F" w:rsidSect="00985D8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5D87"/>
    <w:rsid w:val="000B328F"/>
    <w:rsid w:val="001B4003"/>
    <w:rsid w:val="0031024F"/>
    <w:rsid w:val="004269F1"/>
    <w:rsid w:val="004F7DEF"/>
    <w:rsid w:val="00554C61"/>
    <w:rsid w:val="008F73F5"/>
    <w:rsid w:val="00985D87"/>
    <w:rsid w:val="00C75111"/>
    <w:rsid w:val="00D5456B"/>
    <w:rsid w:val="00E971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D87"/>
    <w:rPr>
      <w:sz w:val="24"/>
      <w:szCs w:val="24"/>
    </w:rPr>
  </w:style>
  <w:style w:type="paragraph" w:styleId="Heading6">
    <w:name w:val="heading 6"/>
    <w:basedOn w:val="Normal"/>
    <w:next w:val="Normal"/>
    <w:link w:val="Heading6Char"/>
    <w:uiPriority w:val="9"/>
    <w:qFormat/>
    <w:rsid w:val="00985D87"/>
    <w:pPr>
      <w:widowControl w:val="0"/>
      <w:autoSpaceDE w:val="0"/>
      <w:autoSpaceDN w:val="0"/>
      <w:adjustRightInd w:val="0"/>
      <w:spacing w:before="240" w:after="60"/>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985D87"/>
    <w:rPr>
      <w:rFonts w:eastAsia="Times New Roman" w:cs="Times New Roman"/>
      <w:b/>
      <w:bCs/>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414</Words>
  <Characters>2361</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 bozor" o’yini</dc:title>
  <dc:subject/>
  <dc:creator>baxtiyor.uz</dc:creator>
  <cp:keywords/>
  <dc:description/>
  <cp:lastModifiedBy>baxtiyor.uz</cp:lastModifiedBy>
  <cp:revision>2</cp:revision>
  <dcterms:created xsi:type="dcterms:W3CDTF">2019-09-13T23:56:00Z</dcterms:created>
  <dcterms:modified xsi:type="dcterms:W3CDTF">2019-09-13T23:56:00Z</dcterms:modified>
</cp:coreProperties>
</file>